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59" w:rsidRDefault="00E41486">
      <w:pPr>
        <w:pStyle w:val="Heading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ZARZĄDZENIE NR  7/2019</w:t>
      </w:r>
    </w:p>
    <w:p w:rsidR="00DC2859" w:rsidRDefault="00E41486">
      <w:pPr>
        <w:pStyle w:val="BodyText"/>
        <w:jc w:val="center"/>
        <w:rPr>
          <w:b/>
          <w:bCs/>
        </w:rPr>
      </w:pPr>
      <w:r>
        <w:rPr>
          <w:b/>
          <w:bCs/>
        </w:rPr>
        <w:t>Prezesa Zarządu Nieruchomościami Miejskimi Sp. z o.o. w Czaplinku</w:t>
      </w:r>
    </w:p>
    <w:p w:rsidR="00DC2859" w:rsidRDefault="00E41486">
      <w:pPr>
        <w:pStyle w:val="BodyText"/>
        <w:jc w:val="center"/>
        <w:rPr>
          <w:b/>
          <w:bCs/>
        </w:rPr>
      </w:pPr>
      <w:r>
        <w:rPr>
          <w:b/>
          <w:bCs/>
        </w:rPr>
        <w:t>z dnia 16.10.2019r.</w:t>
      </w:r>
    </w:p>
    <w:p w:rsidR="00DC2859" w:rsidRDefault="00E41486">
      <w:pPr>
        <w:pStyle w:val="BodyText"/>
      </w:pPr>
      <w:r>
        <w:tab/>
      </w:r>
      <w:r>
        <w:tab/>
      </w:r>
      <w:r>
        <w:tab/>
      </w:r>
      <w:r>
        <w:tab/>
      </w:r>
    </w:p>
    <w:p w:rsidR="00DC2859" w:rsidRDefault="00E41486">
      <w:pPr>
        <w:pStyle w:val="BodyText"/>
        <w:rPr>
          <w:b/>
          <w:bCs/>
        </w:rPr>
      </w:pPr>
      <w:r>
        <w:rPr>
          <w:b/>
          <w:bCs/>
        </w:rPr>
        <w:t>W sprawie ustalenia stawek czynszu w lokalach wchodzących w skład mieszkaniowego zasobu Gminy Czaplinek</w:t>
      </w:r>
    </w:p>
    <w:p w:rsidR="00DC2859" w:rsidRDefault="00E41486">
      <w:pPr>
        <w:pStyle w:val="BodyText"/>
        <w:jc w:val="both"/>
      </w:pPr>
      <w:r>
        <w:t>Na podstawie Zarządzenia Burmistrza Czaplinka Nr</w:t>
      </w:r>
      <w:r>
        <w:t xml:space="preserve"> 91/2019</w:t>
      </w:r>
    </w:p>
    <w:p w:rsidR="00DC2859" w:rsidRDefault="00E41486">
      <w:pPr>
        <w:pStyle w:val="BodyText"/>
        <w:jc w:val="both"/>
      </w:pPr>
      <w:r>
        <w:t>z dnia 15 października 2019 r., zarządza się co następuje:</w:t>
      </w:r>
    </w:p>
    <w:p w:rsidR="00DC2859" w:rsidRDefault="00E41486">
      <w:pPr>
        <w:pStyle w:val="BodyText"/>
        <w:jc w:val="center"/>
      </w:pPr>
      <w:r>
        <w:t xml:space="preserve">§ 1 </w:t>
      </w:r>
    </w:p>
    <w:p w:rsidR="00DC2859" w:rsidRDefault="00E41486">
      <w:pPr>
        <w:jc w:val="both"/>
      </w:pPr>
      <w:r>
        <w:t xml:space="preserve">1)Ustala się następujące stawki czynszu </w:t>
      </w:r>
      <w:r>
        <w:rPr>
          <w:sz w:val="30"/>
          <w:szCs w:val="30"/>
        </w:rPr>
        <w:t>za</w:t>
      </w:r>
      <w:r>
        <w:t xml:space="preserve"> 1 m² powierzchni użytkowych lokali mieszkalnych stanowiących gminny zasób mieszkaniowy:</w:t>
      </w:r>
    </w:p>
    <w:p w:rsidR="00DC2859" w:rsidRDefault="00E41486">
      <w:pPr>
        <w:ind w:left="1080"/>
        <w:jc w:val="both"/>
      </w:pPr>
      <w:r>
        <w:t xml:space="preserve">1) za lokale mieszkalne w </w:t>
      </w:r>
      <w:r>
        <w:t>mieście</w:t>
      </w:r>
      <w:r>
        <w:tab/>
      </w:r>
      <w:r>
        <w:t xml:space="preserve">- </w:t>
      </w:r>
      <w:r>
        <w:rPr>
          <w:b/>
          <w:bCs/>
        </w:rPr>
        <w:t xml:space="preserve">6,95  </w:t>
      </w:r>
      <w:r>
        <w:rPr>
          <w:b/>
        </w:rPr>
        <w:t>zł/m</w:t>
      </w:r>
      <w:r>
        <w:rPr>
          <w:b/>
          <w:vertAlign w:val="superscript"/>
        </w:rPr>
        <w:t>2</w:t>
      </w:r>
    </w:p>
    <w:p w:rsidR="00DC2859" w:rsidRDefault="00E41486">
      <w:pPr>
        <w:ind w:left="1080"/>
        <w:jc w:val="both"/>
      </w:pPr>
      <w:r>
        <w:t>2) za lokale mieszkalne na wsi</w:t>
      </w:r>
      <w:r>
        <w:tab/>
      </w:r>
      <w:r>
        <w:tab/>
      </w:r>
      <w:r>
        <w:t xml:space="preserve">- </w:t>
      </w:r>
      <w:r>
        <w:rPr>
          <w:b/>
          <w:bCs/>
        </w:rPr>
        <w:t>5,19</w:t>
      </w:r>
      <w:r>
        <w:t xml:space="preserve"> </w:t>
      </w:r>
      <w:r>
        <w:rPr>
          <w:b/>
        </w:rPr>
        <w:t xml:space="preserve"> zł/m</w:t>
      </w:r>
      <w:r>
        <w:rPr>
          <w:b/>
          <w:vertAlign w:val="superscript"/>
        </w:rPr>
        <w:t>2</w:t>
      </w:r>
    </w:p>
    <w:p w:rsidR="00DC2859" w:rsidRDefault="00E41486">
      <w:pPr>
        <w:ind w:left="1080"/>
        <w:jc w:val="both"/>
      </w:pPr>
      <w:r>
        <w:t>3) za lokale socjalne</w:t>
      </w:r>
      <w:r>
        <w:tab/>
      </w:r>
      <w:r>
        <w:tab/>
      </w:r>
      <w:r>
        <w:tab/>
        <w:t>-</w:t>
      </w:r>
      <w:r>
        <w:t xml:space="preserve"> </w:t>
      </w:r>
      <w:bookmarkStart w:id="0" w:name="_GoBack"/>
      <w:bookmarkEnd w:id="0"/>
      <w:r>
        <w:rPr>
          <w:b/>
          <w:bCs/>
        </w:rPr>
        <w:t>5</w:t>
      </w:r>
      <w:r>
        <w:rPr>
          <w:b/>
          <w:bCs/>
        </w:rPr>
        <w:t>0% stawki najniższego czynszu obowiązującego w gminnym zasobie mieszkaniowym:</w:t>
      </w:r>
    </w:p>
    <w:p w:rsidR="00DC2859" w:rsidRDefault="00E41486">
      <w:pPr>
        <w:ind w:left="1080"/>
        <w:jc w:val="both"/>
      </w:pPr>
      <w:r>
        <w:rPr>
          <w:b/>
          <w:bCs/>
        </w:rPr>
        <w:t>na terenie miasta                              - 2,78 zł/m</w:t>
      </w:r>
      <w:r>
        <w:rPr>
          <w:b/>
          <w:bCs/>
          <w:vertAlign w:val="superscript"/>
        </w:rPr>
        <w:t>2</w:t>
      </w:r>
    </w:p>
    <w:p w:rsidR="00DC2859" w:rsidRDefault="00E41486">
      <w:pPr>
        <w:ind w:left="1080"/>
        <w:jc w:val="both"/>
      </w:pPr>
      <w:r>
        <w:rPr>
          <w:b/>
          <w:bCs/>
        </w:rPr>
        <w:t xml:space="preserve">na terenach wiejskich   </w:t>
      </w:r>
      <w:r>
        <w:rPr>
          <w:b/>
          <w:bCs/>
        </w:rPr>
        <w:t xml:space="preserve">                   - 2,60 zł/m</w:t>
      </w:r>
      <w:r>
        <w:rPr>
          <w:b/>
          <w:bCs/>
          <w:vertAlign w:val="superscript"/>
        </w:rPr>
        <w:t>2</w:t>
      </w:r>
    </w:p>
    <w:p w:rsidR="00DC2859" w:rsidRDefault="00E41486">
      <w:pPr>
        <w:ind w:left="1080"/>
        <w:jc w:val="both"/>
      </w:pPr>
      <w:r>
        <w:t>4) za pomieszczenie tymczasowe</w:t>
      </w:r>
      <w:r>
        <w:rPr>
          <w:b/>
          <w:bCs/>
        </w:rPr>
        <w:tab/>
        <w:t>- 50 % stawki bazowej tj. 3,48 zł/m</w:t>
      </w:r>
      <w:r>
        <w:rPr>
          <w:b/>
          <w:bCs/>
          <w:vertAlign w:val="superscript"/>
        </w:rPr>
        <w:t>2</w:t>
      </w:r>
    </w:p>
    <w:p w:rsidR="00E41486" w:rsidRDefault="00E41486" w:rsidP="00E41486">
      <w:pPr>
        <w:tabs>
          <w:tab w:val="left" w:pos="1800"/>
        </w:tabs>
        <w:ind w:left="2520"/>
        <w:jc w:val="both"/>
      </w:pPr>
      <w:r>
        <w:t xml:space="preserve">2) Stawki, o których mowa w ust. 1, pkt 1 ulegają </w:t>
      </w:r>
      <w:r>
        <w:rPr>
          <w:b/>
          <w:bCs/>
          <w:i/>
          <w:iCs/>
          <w:u w:val="single"/>
        </w:rPr>
        <w:t>obniżeniu</w:t>
      </w:r>
      <w:r>
        <w:rPr>
          <w:b/>
          <w:bCs/>
          <w:u w:val="single"/>
        </w:rPr>
        <w:t xml:space="preserve"> </w:t>
      </w:r>
      <w:r>
        <w:t>w następujący sposób</w:t>
      </w:r>
    </w:p>
    <w:p w:rsidR="00DC2859" w:rsidRDefault="00E41486" w:rsidP="00E41486">
      <w:pPr>
        <w:tabs>
          <w:tab w:val="left" w:pos="1800"/>
        </w:tabs>
        <w:ind w:left="2520"/>
        <w:jc w:val="both"/>
      </w:pPr>
      <w:r>
        <w:tab/>
      </w:r>
      <w:r>
        <w:tab/>
      </w:r>
      <w:r>
        <w:t xml:space="preserve">- lokal mieszkalny bez centralnego ogrzewania - </w:t>
      </w:r>
      <w:r>
        <w:rPr>
          <w:b/>
        </w:rPr>
        <w:t>5%</w:t>
      </w:r>
    </w:p>
    <w:p w:rsidR="00DC2859" w:rsidRDefault="00E41486">
      <w:pPr>
        <w:tabs>
          <w:tab w:val="left" w:pos="3570"/>
        </w:tabs>
        <w:ind w:left="3600"/>
        <w:jc w:val="both"/>
      </w:pPr>
      <w:r>
        <w:t xml:space="preserve">- lokal mieszkalny bez instalacji wodociągowej - </w:t>
      </w:r>
      <w:r>
        <w:rPr>
          <w:b/>
        </w:rPr>
        <w:t>5%</w:t>
      </w:r>
    </w:p>
    <w:p w:rsidR="00DC2859" w:rsidRDefault="00E41486">
      <w:pPr>
        <w:tabs>
          <w:tab w:val="left" w:pos="3570"/>
        </w:tabs>
        <w:ind w:left="3600"/>
        <w:jc w:val="both"/>
      </w:pPr>
      <w:r>
        <w:t xml:space="preserve">- lokal mieszkalny bez instalacji kanalizacyjnej - </w:t>
      </w:r>
      <w:r>
        <w:rPr>
          <w:b/>
        </w:rPr>
        <w:t>5%</w:t>
      </w:r>
    </w:p>
    <w:p w:rsidR="00DC2859" w:rsidRDefault="00E41486">
      <w:pPr>
        <w:tabs>
          <w:tab w:val="left" w:pos="3570"/>
        </w:tabs>
        <w:ind w:left="3600"/>
        <w:jc w:val="both"/>
      </w:pPr>
      <w:r>
        <w:t>- lokal</w:t>
      </w:r>
      <w:r>
        <w:rPr>
          <w:b/>
        </w:rPr>
        <w:t xml:space="preserve"> </w:t>
      </w:r>
      <w:r>
        <w:t xml:space="preserve">mieszkalny bez łazienki - </w:t>
      </w:r>
      <w:r>
        <w:rPr>
          <w:b/>
        </w:rPr>
        <w:t>5%</w:t>
      </w:r>
    </w:p>
    <w:p w:rsidR="00DC2859" w:rsidRDefault="00E41486">
      <w:pPr>
        <w:tabs>
          <w:tab w:val="left" w:pos="3570"/>
        </w:tabs>
        <w:ind w:left="3600"/>
        <w:jc w:val="both"/>
      </w:pPr>
      <w:r>
        <w:t xml:space="preserve">- lokal mieszkalny bez wc - </w:t>
      </w:r>
      <w:r>
        <w:rPr>
          <w:b/>
        </w:rPr>
        <w:t>5%</w:t>
      </w:r>
    </w:p>
    <w:p w:rsidR="00DC2859" w:rsidRDefault="00E41486">
      <w:pPr>
        <w:tabs>
          <w:tab w:val="left" w:pos="3570"/>
        </w:tabs>
        <w:ind w:left="3600"/>
        <w:jc w:val="both"/>
      </w:pPr>
      <w:r>
        <w:t xml:space="preserve">-lokal mieszkalny w budynku przeznaczonym do rozbiórki prawomocną decyzją właściwego organu - </w:t>
      </w:r>
      <w:r>
        <w:rPr>
          <w:b/>
        </w:rPr>
        <w:t>10%</w:t>
      </w:r>
    </w:p>
    <w:p w:rsidR="00DC2859" w:rsidRDefault="00E41486">
      <w:pPr>
        <w:tabs>
          <w:tab w:val="left" w:pos="3555"/>
        </w:tabs>
        <w:ind w:left="3600"/>
        <w:jc w:val="both"/>
      </w:pPr>
      <w:r>
        <w:t xml:space="preserve">-lokal mieszkalny w budynku przeznaczonym do remontu z wyprowadzeniem lokatorów - </w:t>
      </w:r>
      <w:r>
        <w:rPr>
          <w:b/>
        </w:rPr>
        <w:t>10%</w:t>
      </w:r>
    </w:p>
    <w:p w:rsidR="00DC2859" w:rsidRDefault="00E41486">
      <w:pPr>
        <w:tabs>
          <w:tab w:val="left" w:pos="1800"/>
        </w:tabs>
        <w:ind w:left="2520"/>
        <w:jc w:val="both"/>
      </w:pPr>
      <w:r>
        <w:t xml:space="preserve">3) Stawki, o których mowa w ust. 1, pkt 1 ulegają </w:t>
      </w:r>
      <w:r>
        <w:rPr>
          <w:b/>
          <w:bCs/>
          <w:i/>
          <w:iCs/>
          <w:u w:val="single"/>
        </w:rPr>
        <w:t>podwyższeniu</w:t>
      </w:r>
      <w:r>
        <w:t xml:space="preserve"> w następu</w:t>
      </w:r>
      <w:r>
        <w:t>jący sposób:</w:t>
      </w:r>
    </w:p>
    <w:p w:rsidR="00DC2859" w:rsidRDefault="00E41486">
      <w:pPr>
        <w:tabs>
          <w:tab w:val="left" w:pos="3600"/>
        </w:tabs>
        <w:ind w:left="3600"/>
        <w:jc w:val="both"/>
      </w:pPr>
      <w:r>
        <w:t xml:space="preserve">- lokal mieszkalny wyposażony w c.o. etażowe </w:t>
      </w:r>
      <w:r>
        <w:rPr>
          <w:b/>
        </w:rPr>
        <w:t>+ 10%</w:t>
      </w:r>
    </w:p>
    <w:p w:rsidR="00DC2859" w:rsidRDefault="00E41486">
      <w:pPr>
        <w:tabs>
          <w:tab w:val="left" w:pos="3600"/>
        </w:tabs>
        <w:ind w:left="3600"/>
        <w:jc w:val="both"/>
      </w:pPr>
      <w:r>
        <w:t xml:space="preserve">- lokal mieszkalny wyposażony w c.o. z kotłowni </w:t>
      </w:r>
      <w:r>
        <w:rPr>
          <w:b/>
        </w:rPr>
        <w:t>+ 25%</w:t>
      </w:r>
    </w:p>
    <w:p w:rsidR="00DC2859" w:rsidRDefault="00E41486">
      <w:pPr>
        <w:tabs>
          <w:tab w:val="left" w:pos="3600"/>
        </w:tabs>
        <w:ind w:left="3600"/>
        <w:jc w:val="both"/>
      </w:pPr>
      <w:r>
        <w:t xml:space="preserve">- lokal mieszkalny wyposażany w c.o. z kotłowni, ciepłą wodę z kotłowni </w:t>
      </w:r>
      <w:r>
        <w:rPr>
          <w:b/>
        </w:rPr>
        <w:t>+ 30%</w:t>
      </w:r>
    </w:p>
    <w:p w:rsidR="00DC2859" w:rsidRDefault="00DC2859">
      <w:pPr>
        <w:tabs>
          <w:tab w:val="left" w:pos="375"/>
        </w:tabs>
        <w:ind w:left="3240"/>
        <w:jc w:val="both"/>
      </w:pPr>
    </w:p>
    <w:p w:rsidR="00DC2859" w:rsidRDefault="00E41486">
      <w:pPr>
        <w:pStyle w:val="BodyText"/>
        <w:jc w:val="center"/>
      </w:pPr>
      <w:r>
        <w:t>§ 2</w:t>
      </w:r>
    </w:p>
    <w:p w:rsidR="00DC2859" w:rsidRDefault="00E41486">
      <w:pPr>
        <w:pStyle w:val="BodyText"/>
      </w:pPr>
      <w:r>
        <w:t xml:space="preserve">Stawki czynszu obowiązywać będą od dnia </w:t>
      </w:r>
      <w:r>
        <w:rPr>
          <w:b/>
          <w:bCs/>
        </w:rPr>
        <w:t>01.02.2020 r.</w:t>
      </w:r>
    </w:p>
    <w:p w:rsidR="00DC2859" w:rsidRDefault="00DC2859">
      <w:pPr>
        <w:pStyle w:val="BodyText"/>
        <w:rPr>
          <w:b/>
          <w:bCs/>
        </w:rPr>
      </w:pPr>
    </w:p>
    <w:p w:rsidR="00DC2859" w:rsidRDefault="00E41486">
      <w:pPr>
        <w:pStyle w:val="BodyTex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Prezes Zarządu</w:t>
      </w:r>
    </w:p>
    <w:p w:rsidR="00DC2859" w:rsidRDefault="00E4148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Zarządu Nieruchomościami Miejskimi Sp. z o.o.</w:t>
      </w:r>
    </w:p>
    <w:p w:rsidR="00DC2859" w:rsidRDefault="00DC2859">
      <w:pPr>
        <w:pStyle w:val="BodyText"/>
      </w:pPr>
    </w:p>
    <w:p w:rsidR="00DC2859" w:rsidRDefault="00E4148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Adam Tuchalski</w:t>
      </w:r>
    </w:p>
    <w:sectPr w:rsidR="00DC2859">
      <w:pgSz w:w="11905" w:h="16837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709B"/>
    <w:multiLevelType w:val="multilevel"/>
    <w:tmpl w:val="85348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F25236"/>
    <w:multiLevelType w:val="multilevel"/>
    <w:tmpl w:val="45B45874"/>
    <w:lvl w:ilvl="0">
      <w:start w:val="1"/>
      <w:numFmt w:val="decimal"/>
      <w:lvlText w:val="%1)"/>
      <w:lvlJc w:val="left"/>
      <w:pPr>
        <w:tabs>
          <w:tab w:val="num" w:pos="72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1800" w:hanging="180"/>
      </w:pPr>
    </w:lvl>
    <w:lvl w:ilvl="3">
      <w:start w:val="2"/>
      <w:numFmt w:val="decimal"/>
      <w:lvlText w:val="%4."/>
      <w:lvlJc w:val="left"/>
      <w:pPr>
        <w:tabs>
          <w:tab w:val="num" w:pos="324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120" w:hanging="180"/>
      </w:pPr>
    </w:lvl>
  </w:abstractNum>
  <w:abstractNum w:abstractNumId="2" w15:restartNumberingAfterBreak="0">
    <w:nsid w:val="6884526C"/>
    <w:multiLevelType w:val="multilevel"/>
    <w:tmpl w:val="8B2A30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859"/>
    <w:rsid w:val="00DC2859"/>
    <w:rsid w:val="00E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19C4"/>
  <w15:docId w15:val="{22309611-D4AA-4444-8ECB-5B50C676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5">
    <w:name w:val="heading 5"/>
    <w:basedOn w:val="Header"/>
    <w:next w:val="BodyText"/>
    <w:uiPriority w:val="9"/>
    <w:unhideWhenUsed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eichenformat">
    <w:name w:val="Zeichenformat"/>
    <w:qFormat/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Krzysztof Carewicz</cp:lastModifiedBy>
  <cp:revision>9</cp:revision>
  <cp:lastPrinted>2018-11-08T08:19:00Z</cp:lastPrinted>
  <dcterms:created xsi:type="dcterms:W3CDTF">2012-01-24T08:15:00Z</dcterms:created>
  <dcterms:modified xsi:type="dcterms:W3CDTF">2019-10-22T09:57:00Z</dcterms:modified>
  <dc:language>pl-PL</dc:language>
</cp:coreProperties>
</file>